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9A" w:rsidRPr="00986667" w:rsidRDefault="003626B5">
      <w:pPr>
        <w:pStyle w:val="20"/>
        <w:shd w:val="clear" w:color="auto" w:fill="auto"/>
        <w:spacing w:after="320"/>
        <w:ind w:right="240"/>
        <w:rPr>
          <w:sz w:val="28"/>
          <w:szCs w:val="28"/>
        </w:rPr>
      </w:pPr>
      <w:r w:rsidRPr="00986667">
        <w:rPr>
          <w:sz w:val="28"/>
          <w:szCs w:val="28"/>
        </w:rPr>
        <w:t>О Пилотном проекте по увеличению участия российских компаний в закупочной деятельности организаций ООН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986667">
        <w:rPr>
          <w:sz w:val="28"/>
          <w:szCs w:val="28"/>
        </w:rPr>
        <w:t>Организация Объединенных Наций по промышленному развитию (ЮНИДО) является специализированным учреждением системы ООН. Основная цель организации - содействие и ускорение промышленного развития в развивающихся странах и странах с переходной экономикой, а также продвижение международного промышленного сотрудничества.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986667">
        <w:rPr>
          <w:sz w:val="28"/>
          <w:szCs w:val="28"/>
        </w:rPr>
        <w:t>Приоритетами деятельности организации являются три тематических направления, каждое из которых представляет различные аспекты стратегии Всеохватывающего и устойчивого промышленного развития:</w:t>
      </w:r>
    </w:p>
    <w:p w:rsidR="004B4B9A" w:rsidRPr="00986667" w:rsidRDefault="003626B5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986667">
        <w:rPr>
          <w:sz w:val="28"/>
          <w:szCs w:val="28"/>
        </w:rPr>
        <w:t>Достижение общественного благосостояния;</w:t>
      </w:r>
    </w:p>
    <w:p w:rsidR="004B4B9A" w:rsidRPr="00986667" w:rsidRDefault="003626B5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986667">
        <w:rPr>
          <w:sz w:val="28"/>
          <w:szCs w:val="28"/>
        </w:rPr>
        <w:t>Развитие экономической конкурентоспособности;</w:t>
      </w:r>
    </w:p>
    <w:p w:rsidR="004B4B9A" w:rsidRPr="00986667" w:rsidRDefault="003626B5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986667">
        <w:rPr>
          <w:sz w:val="28"/>
          <w:szCs w:val="28"/>
        </w:rPr>
        <w:t>Защита окружающей среды.</w:t>
      </w:r>
    </w:p>
    <w:p w:rsidR="004B4B9A" w:rsidRPr="00986667" w:rsidRDefault="003626B5">
      <w:pPr>
        <w:pStyle w:val="20"/>
        <w:shd w:val="clear" w:color="auto" w:fill="auto"/>
        <w:spacing w:after="0" w:line="461" w:lineRule="exact"/>
        <w:ind w:right="240"/>
        <w:rPr>
          <w:sz w:val="28"/>
          <w:szCs w:val="28"/>
        </w:rPr>
      </w:pPr>
      <w:r w:rsidRPr="00986667">
        <w:rPr>
          <w:sz w:val="28"/>
          <w:szCs w:val="28"/>
        </w:rPr>
        <w:t>Контекст проекта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986667">
        <w:rPr>
          <w:sz w:val="28"/>
          <w:szCs w:val="28"/>
        </w:rPr>
        <w:t>Российская Федерация является одним из крупнейших государственных доноров ЮНИДО, предоставляя финансовую поддержку проектам технической помощи ЮНИДО с 2009 года.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986667">
        <w:rPr>
          <w:sz w:val="28"/>
          <w:szCs w:val="28"/>
        </w:rPr>
        <w:t>Ожидаемым результатом данного проекта является усиление активности российских экономических операторов и бизнеса при участии в деятельности ЮНИДО по оказанию технической помощи, в частности, за счет российских технологий, услуг, оборудования и компетенций, направленных на оказание помощи развивающимся странам.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460" w:firstLine="3380"/>
        <w:jc w:val="left"/>
        <w:rPr>
          <w:sz w:val="28"/>
          <w:szCs w:val="28"/>
        </w:rPr>
      </w:pPr>
      <w:r w:rsidRPr="00986667">
        <w:rPr>
          <w:rStyle w:val="a5"/>
          <w:sz w:val="28"/>
          <w:szCs w:val="28"/>
        </w:rPr>
        <w:t xml:space="preserve">Основные данные проекта </w:t>
      </w:r>
      <w:r w:rsidRPr="00986667">
        <w:rPr>
          <w:sz w:val="28"/>
          <w:szCs w:val="28"/>
        </w:rPr>
        <w:t xml:space="preserve">Оригинальное название: </w:t>
      </w:r>
      <w:r w:rsidRPr="00986667">
        <w:rPr>
          <w:sz w:val="28"/>
          <w:szCs w:val="28"/>
          <w:lang w:val="en-US"/>
        </w:rPr>
        <w:t>Enhancing</w:t>
      </w:r>
      <w:r w:rsidRPr="00986667">
        <w:rPr>
          <w:sz w:val="28"/>
          <w:szCs w:val="28"/>
        </w:rPr>
        <w:t xml:space="preserve"> </w:t>
      </w:r>
      <w:r w:rsidRPr="00986667">
        <w:rPr>
          <w:sz w:val="28"/>
          <w:szCs w:val="28"/>
          <w:lang w:val="en-US"/>
        </w:rPr>
        <w:t>Donor</w:t>
      </w:r>
      <w:r w:rsidRPr="00986667">
        <w:rPr>
          <w:sz w:val="28"/>
          <w:szCs w:val="28"/>
        </w:rPr>
        <w:t xml:space="preserve"> </w:t>
      </w:r>
      <w:r w:rsidRPr="00986667">
        <w:rPr>
          <w:sz w:val="28"/>
          <w:szCs w:val="28"/>
          <w:lang w:val="en-US"/>
        </w:rPr>
        <w:t>Relations</w:t>
      </w:r>
      <w:r w:rsidRPr="00986667">
        <w:rPr>
          <w:sz w:val="28"/>
          <w:szCs w:val="28"/>
        </w:rPr>
        <w:t xml:space="preserve"> </w:t>
      </w:r>
      <w:r w:rsidRPr="00986667">
        <w:rPr>
          <w:sz w:val="28"/>
          <w:szCs w:val="28"/>
          <w:lang w:val="en-US"/>
        </w:rPr>
        <w:t>Pilot</w:t>
      </w:r>
      <w:r w:rsidRPr="00986667">
        <w:rPr>
          <w:sz w:val="28"/>
          <w:szCs w:val="28"/>
        </w:rPr>
        <w:t xml:space="preserve"> </w:t>
      </w:r>
      <w:r w:rsidRPr="00986667">
        <w:rPr>
          <w:sz w:val="28"/>
          <w:szCs w:val="28"/>
          <w:lang w:val="en-US"/>
        </w:rPr>
        <w:t>Project</w:t>
      </w:r>
      <w:r w:rsidRPr="00986667">
        <w:rPr>
          <w:sz w:val="28"/>
          <w:szCs w:val="28"/>
        </w:rPr>
        <w:t>;</w:t>
      </w:r>
    </w:p>
    <w:p w:rsidR="004B4B9A" w:rsidRPr="00986667" w:rsidRDefault="003626B5">
      <w:pPr>
        <w:pStyle w:val="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Номер проекта в ЮНИДО: 170290;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94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Фактический срок реализации проекта: 12 ноября 2018г. - 31 декабря 2019г.; Исполнительное агентство: ЮНИДО;</w:t>
      </w:r>
    </w:p>
    <w:p w:rsidR="004B4B9A" w:rsidRPr="00986667" w:rsidRDefault="003626B5">
      <w:pPr>
        <w:pStyle w:val="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Источник финансирования: Российская Федерация;</w:t>
      </w:r>
    </w:p>
    <w:p w:rsidR="004B4B9A" w:rsidRPr="00986667" w:rsidRDefault="003626B5">
      <w:pPr>
        <w:pStyle w:val="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Основные партнеры проекта: МИД России, Минэкономразвития России</w:t>
      </w:r>
    </w:p>
    <w:p w:rsidR="004B4B9A" w:rsidRPr="00986667" w:rsidRDefault="00986667">
      <w:pPr>
        <w:pStyle w:val="20"/>
        <w:shd w:val="clear" w:color="auto" w:fill="auto"/>
        <w:spacing w:after="0" w:line="461" w:lineRule="exact"/>
        <w:ind w:right="600"/>
        <w:rPr>
          <w:sz w:val="28"/>
          <w:szCs w:val="28"/>
        </w:rPr>
      </w:pPr>
      <w:r>
        <w:rPr>
          <w:sz w:val="28"/>
          <w:szCs w:val="28"/>
        </w:rPr>
        <w:br/>
      </w:r>
      <w:r w:rsidR="003626B5" w:rsidRPr="00986667">
        <w:rPr>
          <w:sz w:val="28"/>
          <w:szCs w:val="28"/>
        </w:rPr>
        <w:lastRenderedPageBreak/>
        <w:t>Цели проекта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986667">
        <w:rPr>
          <w:sz w:val="28"/>
          <w:szCs w:val="28"/>
        </w:rPr>
        <w:t>Проект направлен на достижение более продуктивных отношений с российскими организациями-партнерами путем достижения следующих целей: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986667">
        <w:rPr>
          <w:sz w:val="28"/>
          <w:szCs w:val="28"/>
        </w:rPr>
        <w:t>Повышение информированности российского бизнес-сообщества и российских экономических операторов в целом о мандате и деятельности ЮНИДО с особым вниманием к проектам ЮНИДО в области технического сотрудничества. Эта инициатива позволит увеличить участие российских компаний и организаций в деятельности ЮНИДО в области закупок и тем самым повысит вклад российских экономических и социальных организаций в осуществлении мандата ЮНИДО.</w:t>
      </w:r>
    </w:p>
    <w:p w:rsidR="004B4B9A" w:rsidRPr="00986667" w:rsidRDefault="003626B5" w:rsidP="00986667">
      <w:pPr>
        <w:pStyle w:val="1"/>
        <w:shd w:val="clear" w:color="auto" w:fill="auto"/>
        <w:tabs>
          <w:tab w:val="left" w:pos="8991"/>
        </w:tabs>
        <w:spacing w:before="0"/>
        <w:ind w:left="20" w:right="20" w:firstLine="660"/>
        <w:rPr>
          <w:sz w:val="28"/>
          <w:szCs w:val="28"/>
        </w:rPr>
      </w:pPr>
      <w:r w:rsidRPr="00986667">
        <w:rPr>
          <w:sz w:val="28"/>
          <w:szCs w:val="28"/>
        </w:rPr>
        <w:t>Развитие потенциала ключевых российских должностных лиц и государственных служащих, а также деловых ассоциаций, торгово- промышленных палат, научных организаций и других о</w:t>
      </w:r>
      <w:r w:rsidR="00986667">
        <w:rPr>
          <w:sz w:val="28"/>
          <w:szCs w:val="28"/>
        </w:rPr>
        <w:t xml:space="preserve">рганизаций в области принципов, </w:t>
      </w:r>
      <w:r w:rsidRPr="00986667">
        <w:rPr>
          <w:sz w:val="28"/>
          <w:szCs w:val="28"/>
        </w:rPr>
        <w:t>правил</w:t>
      </w:r>
      <w:r w:rsidR="00986667">
        <w:rPr>
          <w:sz w:val="28"/>
          <w:szCs w:val="28"/>
        </w:rPr>
        <w:t xml:space="preserve"> </w:t>
      </w:r>
      <w:r w:rsidRPr="00986667">
        <w:rPr>
          <w:sz w:val="28"/>
          <w:szCs w:val="28"/>
        </w:rPr>
        <w:t>и процедур ЮНИДО, связанным с закупками ЮНИДО (и системы организаций ООН в целом), расширив их знания о деятельности ЮНИДО в области закупок.</w:t>
      </w:r>
    </w:p>
    <w:p w:rsidR="004B4B9A" w:rsidRPr="00986667" w:rsidRDefault="003626B5">
      <w:pPr>
        <w:pStyle w:val="20"/>
        <w:shd w:val="clear" w:color="auto" w:fill="auto"/>
        <w:spacing w:after="0" w:line="461" w:lineRule="exact"/>
        <w:rPr>
          <w:sz w:val="28"/>
          <w:szCs w:val="28"/>
        </w:rPr>
      </w:pPr>
      <w:r w:rsidRPr="00986667">
        <w:rPr>
          <w:sz w:val="28"/>
          <w:szCs w:val="28"/>
        </w:rPr>
        <w:t>Компоненты проекта</w:t>
      </w:r>
    </w:p>
    <w:p w:rsidR="004B4B9A" w:rsidRPr="00986667" w:rsidRDefault="003626B5">
      <w:pPr>
        <w:pStyle w:val="30"/>
        <w:shd w:val="clear" w:color="auto" w:fill="auto"/>
        <w:ind w:left="340"/>
        <w:rPr>
          <w:sz w:val="28"/>
          <w:szCs w:val="28"/>
        </w:rPr>
      </w:pPr>
      <w:r w:rsidRPr="00986667">
        <w:rPr>
          <w:sz w:val="28"/>
          <w:szCs w:val="28"/>
        </w:rPr>
        <w:t>Компонент 1. Повышение осведомленности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986667">
        <w:rPr>
          <w:sz w:val="28"/>
          <w:szCs w:val="28"/>
        </w:rPr>
        <w:t xml:space="preserve">Данный компонент будет реализован путем организации семинаров по закупкам, ориентированных на общие и / или конкретные российские отраслевые промышленные сектора. В ходе мероприятий участникам будет рассказано о мандате, мероприятиях и проектах ЮНИДО, в доступной форме </w:t>
      </w:r>
      <w:r w:rsidR="00986667" w:rsidRPr="00986667">
        <w:rPr>
          <w:sz w:val="28"/>
          <w:szCs w:val="28"/>
        </w:rPr>
        <w:t>объяснены</w:t>
      </w:r>
      <w:r w:rsidRPr="00986667">
        <w:rPr>
          <w:sz w:val="28"/>
          <w:szCs w:val="28"/>
        </w:rPr>
        <w:t xml:space="preserve"> принципы, правила и процедуры закупок ЮНИДО. Участникам будут разъяснены общие методы закупок системы ООН в целом - принципы отбора, правила и процедуры представления предложений, особенности договорных отношений.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660"/>
        <w:rPr>
          <w:sz w:val="28"/>
          <w:szCs w:val="28"/>
        </w:rPr>
        <w:sectPr w:rsidR="004B4B9A" w:rsidRPr="00986667" w:rsidSect="00986667">
          <w:headerReference w:type="even" r:id="rId6"/>
          <w:headerReference w:type="default" r:id="rId7"/>
          <w:type w:val="continuous"/>
          <w:pgSz w:w="11909" w:h="16838"/>
          <w:pgMar w:top="851" w:right="887" w:bottom="1276" w:left="887" w:header="0" w:footer="3" w:gutter="352"/>
          <w:cols w:space="720"/>
          <w:noEndnote/>
          <w:titlePg/>
          <w:rtlGutter/>
          <w:docGrid w:linePitch="360"/>
        </w:sectPr>
      </w:pPr>
      <w:r w:rsidRPr="00986667">
        <w:rPr>
          <w:sz w:val="28"/>
          <w:szCs w:val="28"/>
        </w:rPr>
        <w:t>В рамах проекта запланировано проведение 5-6 одно-двухдневных обучающих семинаров с участием специалистов отдела закупок ЮНИДО и проектных менеджеров ЮНИДО. Также предполагается участие специалистов на профильных мероприятиях в рамках крупных форумов, собраний деловых ассоциаций, выставок и т.д.</w:t>
      </w:r>
    </w:p>
    <w:p w:rsidR="004B4B9A" w:rsidRPr="00986667" w:rsidRDefault="003626B5">
      <w:pPr>
        <w:pStyle w:val="30"/>
        <w:shd w:val="clear" w:color="auto" w:fill="auto"/>
        <w:ind w:left="360"/>
        <w:rPr>
          <w:sz w:val="28"/>
          <w:szCs w:val="28"/>
        </w:rPr>
      </w:pPr>
      <w:r w:rsidRPr="00986667">
        <w:rPr>
          <w:sz w:val="28"/>
          <w:szCs w:val="28"/>
        </w:rPr>
        <w:lastRenderedPageBreak/>
        <w:t>Компонент 2. Развитие потенциала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986667">
        <w:rPr>
          <w:sz w:val="28"/>
          <w:szCs w:val="28"/>
        </w:rPr>
        <w:t>Данный компонент будет реализован через проведение углубленных тренингов по развитию потенциала отдельных должностных лиц и государственных служащих, деловых ассоциаций, торгово-промышленных палат, образовательных учреждений и иных целевых организаций.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986667">
        <w:rPr>
          <w:sz w:val="28"/>
          <w:szCs w:val="28"/>
        </w:rPr>
        <w:t>Целью углубленных тренингов является повышение компетенций участников в области деятельности ЮНИДО в отношении принципов, правил и процедур закупок ЮНИДО, а также общих методов закупок и принципов системы ООН в целом для расширения участия российских деловых и научных организаций в возможностях закупок ЮНИДО.</w:t>
      </w:r>
    </w:p>
    <w:p w:rsidR="004B4B9A" w:rsidRPr="00986667" w:rsidRDefault="003626B5">
      <w:pPr>
        <w:pStyle w:val="1"/>
        <w:shd w:val="clear" w:color="auto" w:fill="auto"/>
        <w:spacing w:before="0" w:after="420"/>
        <w:ind w:left="20" w:right="20" w:firstLine="620"/>
        <w:rPr>
          <w:sz w:val="28"/>
          <w:szCs w:val="28"/>
        </w:rPr>
      </w:pPr>
      <w:r w:rsidRPr="00986667">
        <w:rPr>
          <w:sz w:val="28"/>
          <w:szCs w:val="28"/>
        </w:rPr>
        <w:t>В рамах проекта запланировано проведение 2 углубленных тренингов для российских операторов. Предполагается, что в результате обучения специалисты будут способны самостоятельно оказывать дальнейшую консультационную поддержку российскому бизнесу.</w:t>
      </w:r>
    </w:p>
    <w:p w:rsidR="004B4B9A" w:rsidRPr="00986667" w:rsidRDefault="003626B5">
      <w:pPr>
        <w:pStyle w:val="20"/>
        <w:shd w:val="clear" w:color="auto" w:fill="auto"/>
        <w:spacing w:after="0" w:line="461" w:lineRule="exact"/>
        <w:ind w:right="40"/>
        <w:rPr>
          <w:sz w:val="28"/>
          <w:szCs w:val="28"/>
        </w:rPr>
      </w:pPr>
      <w:r w:rsidRPr="00986667">
        <w:rPr>
          <w:sz w:val="28"/>
          <w:szCs w:val="28"/>
        </w:rPr>
        <w:t>Мониторинг и оценка проекта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986667">
        <w:rPr>
          <w:sz w:val="28"/>
          <w:szCs w:val="28"/>
        </w:rPr>
        <w:t>Мониторинг и оценка результативности проекта по компоненту 1 будет основана на статистических данных о количественном приросте регистраций российских компаний в базе поставщиков ЮНИДО и финансовом увеличении участия российских компаний в закупках ЮНИДО. Периодичность оценки - 6 и 12 месяцы реализации проекта.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986667">
        <w:rPr>
          <w:sz w:val="28"/>
          <w:szCs w:val="28"/>
        </w:rPr>
        <w:t>Мониторинг и оценка результативности проекта по компоненту 2 будет основана на результате опроса участников тренинга непосредственно после тренинга.</w:t>
      </w:r>
    </w:p>
    <w:p w:rsidR="004B4B9A" w:rsidRPr="00986667" w:rsidRDefault="003626B5">
      <w:pPr>
        <w:pStyle w:val="1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986667">
        <w:rPr>
          <w:sz w:val="28"/>
          <w:szCs w:val="28"/>
        </w:rPr>
        <w:t>По прошествии определенного времени будет произведен дополнительный опрос участников мероприятий.</w:t>
      </w:r>
    </w:p>
    <w:p w:rsidR="004B4B9A" w:rsidRPr="00986667" w:rsidRDefault="003626B5">
      <w:pPr>
        <w:pStyle w:val="20"/>
        <w:shd w:val="clear" w:color="auto" w:fill="auto"/>
        <w:spacing w:after="0" w:line="461" w:lineRule="exact"/>
        <w:ind w:right="40"/>
        <w:rPr>
          <w:sz w:val="28"/>
          <w:szCs w:val="28"/>
        </w:rPr>
      </w:pPr>
      <w:r w:rsidRPr="00986667">
        <w:rPr>
          <w:sz w:val="28"/>
          <w:szCs w:val="28"/>
        </w:rPr>
        <w:t>Отчетность проекта</w:t>
      </w:r>
    </w:p>
    <w:p w:rsidR="004B4B9A" w:rsidRDefault="003626B5">
      <w:pPr>
        <w:pStyle w:val="1"/>
        <w:shd w:val="clear" w:color="auto" w:fill="auto"/>
        <w:spacing w:before="0"/>
        <w:ind w:left="20" w:right="20" w:firstLine="620"/>
        <w:rPr>
          <w:sz w:val="28"/>
          <w:szCs w:val="28"/>
        </w:rPr>
      </w:pPr>
      <w:r w:rsidRPr="00986667">
        <w:rPr>
          <w:sz w:val="28"/>
          <w:szCs w:val="28"/>
        </w:rPr>
        <w:t>По результатам каждого проведенного тренинга, семинара или иного мероприятия проекта будет подготовлен отчет. По завершении проекта будет подготовлен итоговый отчет.</w:t>
      </w:r>
    </w:p>
    <w:p w:rsidR="00986667" w:rsidRPr="00986667" w:rsidRDefault="00986667">
      <w:pPr>
        <w:pStyle w:val="1"/>
        <w:shd w:val="clear" w:color="auto" w:fill="auto"/>
        <w:spacing w:before="0"/>
        <w:ind w:left="20" w:right="20" w:firstLine="620"/>
        <w:rPr>
          <w:sz w:val="28"/>
          <w:szCs w:val="28"/>
        </w:rPr>
      </w:pPr>
    </w:p>
    <w:p w:rsidR="004B4B9A" w:rsidRPr="00986667" w:rsidRDefault="003626B5">
      <w:pPr>
        <w:pStyle w:val="20"/>
        <w:shd w:val="clear" w:color="auto" w:fill="auto"/>
        <w:spacing w:after="182" w:line="240" w:lineRule="exact"/>
        <w:ind w:left="240"/>
        <w:rPr>
          <w:sz w:val="28"/>
          <w:szCs w:val="28"/>
        </w:rPr>
      </w:pPr>
      <w:r w:rsidRPr="00986667">
        <w:rPr>
          <w:sz w:val="28"/>
          <w:szCs w:val="28"/>
        </w:rPr>
        <w:lastRenderedPageBreak/>
        <w:t>Перечень продукции и услуг в соответствии с направлениями проектной</w:t>
      </w:r>
    </w:p>
    <w:p w:rsidR="004B4B9A" w:rsidRPr="00986667" w:rsidRDefault="003626B5">
      <w:pPr>
        <w:pStyle w:val="20"/>
        <w:shd w:val="clear" w:color="auto" w:fill="auto"/>
        <w:spacing w:after="435" w:line="240" w:lineRule="exact"/>
        <w:ind w:left="240"/>
        <w:rPr>
          <w:sz w:val="28"/>
          <w:szCs w:val="28"/>
        </w:rPr>
      </w:pPr>
      <w:r w:rsidRPr="00986667">
        <w:rPr>
          <w:sz w:val="28"/>
          <w:szCs w:val="28"/>
        </w:rPr>
        <w:t>деятельности ЮНИДО</w:t>
      </w:r>
    </w:p>
    <w:p w:rsidR="004B4B9A" w:rsidRPr="00986667" w:rsidRDefault="003626B5">
      <w:pPr>
        <w:pStyle w:val="1"/>
        <w:shd w:val="clear" w:color="auto" w:fill="auto"/>
        <w:spacing w:before="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Проектирование, поставка и обслуживание климатических систем;</w:t>
      </w:r>
    </w:p>
    <w:p w:rsidR="004B4B9A" w:rsidRPr="00986667" w:rsidRDefault="003626B5">
      <w:pPr>
        <w:pStyle w:val="1"/>
        <w:shd w:val="clear" w:color="auto" w:fill="auto"/>
        <w:spacing w:before="0"/>
        <w:ind w:right="34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 xml:space="preserve">Оборудование, комплектующие и услуги в области </w:t>
      </w:r>
      <w:proofErr w:type="spellStart"/>
      <w:r w:rsidRPr="00986667">
        <w:rPr>
          <w:sz w:val="28"/>
          <w:szCs w:val="28"/>
        </w:rPr>
        <w:t>агропромы</w:t>
      </w:r>
      <w:bookmarkStart w:id="0" w:name="_GoBack"/>
      <w:bookmarkEnd w:id="0"/>
      <w:r w:rsidRPr="00986667">
        <w:rPr>
          <w:sz w:val="28"/>
          <w:szCs w:val="28"/>
        </w:rPr>
        <w:t>шленности</w:t>
      </w:r>
      <w:proofErr w:type="spellEnd"/>
      <w:r w:rsidRPr="00986667">
        <w:rPr>
          <w:sz w:val="28"/>
          <w:szCs w:val="28"/>
        </w:rPr>
        <w:t>; Проектирование и поставка лабораторного оборудования и компонентов. Аккредитация и услуги лабораторий;</w:t>
      </w:r>
    </w:p>
    <w:p w:rsidR="004B4B9A" w:rsidRPr="00986667" w:rsidRDefault="003626B5">
      <w:pPr>
        <w:pStyle w:val="1"/>
        <w:shd w:val="clear" w:color="auto" w:fill="auto"/>
        <w:spacing w:before="0"/>
        <w:ind w:right="34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Консалтинг в области энергетической и ресурсной эффективности; Энергетические системы и возобновляемые источники энергии;</w:t>
      </w:r>
    </w:p>
    <w:p w:rsidR="004B4B9A" w:rsidRPr="00986667" w:rsidRDefault="003626B5">
      <w:pPr>
        <w:pStyle w:val="1"/>
        <w:shd w:val="clear" w:color="auto" w:fill="auto"/>
        <w:spacing w:before="0"/>
        <w:ind w:right="34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Проектирование, поставка и обслуживание производственных систем и компонентов;</w:t>
      </w:r>
    </w:p>
    <w:p w:rsidR="004B4B9A" w:rsidRPr="00986667" w:rsidRDefault="003626B5">
      <w:pPr>
        <w:pStyle w:val="1"/>
        <w:shd w:val="clear" w:color="auto" w:fill="auto"/>
        <w:spacing w:before="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Современные технологии;</w:t>
      </w:r>
    </w:p>
    <w:p w:rsidR="004B4B9A" w:rsidRPr="00986667" w:rsidRDefault="003626B5">
      <w:pPr>
        <w:pStyle w:val="1"/>
        <w:shd w:val="clear" w:color="auto" w:fill="auto"/>
        <w:spacing w:before="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Информационные, консалтинговые и инженерные услуги;</w:t>
      </w:r>
    </w:p>
    <w:p w:rsidR="004B4B9A" w:rsidRPr="00986667" w:rsidRDefault="003626B5">
      <w:pPr>
        <w:pStyle w:val="1"/>
        <w:shd w:val="clear" w:color="auto" w:fill="auto"/>
        <w:spacing w:before="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Профессиональное обучение;</w:t>
      </w:r>
    </w:p>
    <w:p w:rsidR="004B4B9A" w:rsidRPr="00986667" w:rsidRDefault="003626B5">
      <w:pPr>
        <w:pStyle w:val="1"/>
        <w:shd w:val="clear" w:color="auto" w:fill="auto"/>
        <w:spacing w:before="0"/>
        <w:ind w:right="34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Строительная техника и оборудование для добычи полезных ископаемых, инжиниринг;</w:t>
      </w:r>
    </w:p>
    <w:p w:rsidR="004B4B9A" w:rsidRPr="00986667" w:rsidRDefault="003626B5">
      <w:pPr>
        <w:pStyle w:val="1"/>
        <w:shd w:val="clear" w:color="auto" w:fill="auto"/>
        <w:spacing w:before="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Консалтинг и технологии в области утилизации отходов;</w:t>
      </w:r>
    </w:p>
    <w:p w:rsidR="004B4B9A" w:rsidRPr="00986667" w:rsidRDefault="003626B5">
      <w:pPr>
        <w:pStyle w:val="1"/>
        <w:shd w:val="clear" w:color="auto" w:fill="auto"/>
        <w:spacing w:before="0"/>
        <w:jc w:val="left"/>
        <w:rPr>
          <w:sz w:val="28"/>
          <w:szCs w:val="28"/>
        </w:rPr>
      </w:pPr>
      <w:r w:rsidRPr="00986667">
        <w:rPr>
          <w:sz w:val="28"/>
          <w:szCs w:val="28"/>
        </w:rPr>
        <w:t>Рациональное водопользование и управление водными ресурсами.</w:t>
      </w:r>
    </w:p>
    <w:sectPr w:rsidR="004B4B9A" w:rsidRPr="00986667" w:rsidSect="00986667">
      <w:headerReference w:type="even" r:id="rId8"/>
      <w:headerReference w:type="default" r:id="rId9"/>
      <w:pgSz w:w="11909" w:h="16838"/>
      <w:pgMar w:top="993" w:right="887" w:bottom="1375" w:left="887" w:header="0" w:footer="3" w:gutter="352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528" w:rsidRDefault="00BF3528">
      <w:r>
        <w:separator/>
      </w:r>
    </w:p>
  </w:endnote>
  <w:endnote w:type="continuationSeparator" w:id="0">
    <w:p w:rsidR="00BF3528" w:rsidRDefault="00BF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528" w:rsidRDefault="00BF3528"/>
  </w:footnote>
  <w:footnote w:type="continuationSeparator" w:id="0">
    <w:p w:rsidR="00BF3528" w:rsidRDefault="00BF35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9A" w:rsidRDefault="005210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3857625</wp:posOffset>
              </wp:positionH>
              <wp:positionV relativeFrom="page">
                <wp:posOffset>788035</wp:posOffset>
              </wp:positionV>
              <wp:extent cx="64135" cy="146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B9A" w:rsidRDefault="003626B5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75pt;margin-top:62.05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9GglFN0AAAALAQAA&#10;DwAAAGRycy9kb3ducmV2LnhtbEyPwU7DMAyG70h7h8iTuLG002in0nRCk7hwYyAkblnjtRWJUyVZ&#10;17495gRH+//0+3N9mJ0VE4Y4eFKQbzIQSK03A3UKPt5fHvYgYtJktPWEChaMcGhWd7WujL/RG06n&#10;1AkuoVhpBX1KYyVlbHt0Om78iMTZxQenE4+hkyboG5c7K7dZVkinB+ILvR7x2GP7fbo6BeX86XGM&#10;eMSvy9SGflj29nVR6n49Pz+BSDinPxh+9VkdGnY6+yuZKKyCIisfGeVgu8tBMFHkZQHizJtdmYNs&#10;avn/h+YHAAD//wMAUEsBAi0AFAAGAAgAAAAhALaDOJL+AAAA4QEAABMAAAAAAAAAAAAAAAAAAAAA&#10;AFtDb250ZW50X1R5cGVzXS54bWxQSwECLQAUAAYACAAAACEAOP0h/9YAAACUAQAACwAAAAAAAAAA&#10;AAAAAAAvAQAAX3JlbHMvLnJlbHNQSwECLQAUAAYACAAAACEAK27KGKsCAAClBQAADgAAAAAAAAAA&#10;AAAAAAAuAgAAZHJzL2Uyb0RvYy54bWxQSwECLQAUAAYACAAAACEA9GglFN0AAAALAQAADwAAAAAA&#10;AAAAAAAAAAAFBQAAZHJzL2Rvd25yZXYueG1sUEsFBgAAAAAEAAQA8wAAAA8GAAAAAA==&#10;" filled="f" stroked="f">
              <v:textbox style="mso-fit-shape-to-text:t" inset="0,0,0,0">
                <w:txbxContent>
                  <w:p w:rsidR="004B4B9A" w:rsidRDefault="003626B5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9A" w:rsidRDefault="005210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3857625</wp:posOffset>
              </wp:positionH>
              <wp:positionV relativeFrom="page">
                <wp:posOffset>788035</wp:posOffset>
              </wp:positionV>
              <wp:extent cx="57785" cy="100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B9A" w:rsidRDefault="003626B5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3.75pt;margin-top:62.05pt;width:4.55pt;height:7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FjrQIAAKwFAAAOAAAAZHJzL2Uyb0RvYy54bWysVG1vmzAQ/j5p/8HydwokJAFUUrUhTJO6&#10;F6ndD3DABGvGRrYb6Kb9951NSNL2y7SND9Zhn5977u7xXd8MLUcHqjSTIsPhVYARFaWsmNhn+Ntj&#10;4cUYaUNERbgUNMPPVOOb9ft3132X0plsJK+oQgAidNp3GW6M6VLf12VDW6KvZEcFHNZStcTAr9r7&#10;lSI9oLfcnwXB0u+lqjolS6o17ObjIV47/LqmpflS15oaxDMM3IxblVt3dvXX1yTdK9I1rDzSIH/B&#10;oiVMQNATVE4MQU+KvYFqWamklrW5KmXry7pmJXU5QDZh8Cqbh4Z01OUCxdHdqUz6/8GWnw9fFWIV&#10;9A4jQVpo0SMdDLqTA5rb6vSdTsHpoQM3M8C29bSZ6u5elt81EnLTELGnt0rJvqGkAnahvelfXB1x&#10;tAXZ9Z9kBWHIk5EOaKhVawGhGAjQoUvPp85YKiVsLlareIFRCSdhEMznrnE+Sae7ndLmA5UtskaG&#10;FfTdYZPDvTaWC0knFxtKyIJx7nrPxYsNcBx3IDJctWeWg2vlzyRItvE2jrxottx6UZDn3m2xibxl&#10;Ea4W+TzfbPLwl40bRmnDqooKG2aSVRj9WduOAh8FcRKWlpxVFs5S0mq/23CFDgRkXbjPVRxOzm7+&#10;SxquCJDLq5TCWRTczRKvWMYrLyqihZesgtgLwuQuWQZREuXFy5TumaD/nhLqM5wsZotRSmfSr3IL&#10;3Pc2N5K2zMDg4KzNcHxyIqkV4FZUrrWGMD7aF6Ww9M+lgHZPjXZytQodtWqG3XB8FwBmpbyT1TPo&#10;V0kQGIgUhh4YjVQ/MOphgGRYwITDiH8U8ALsrJkMNRm7ySCihIsZNhiN5saMM+mpU2zfAO70xm7h&#10;lRTMSfjM4fi2YCS4TI7jy86cy3/ndR6y698AAAD//wMAUEsDBBQABgAIAAAAIQBqYZwO3gAAAAsB&#10;AAAPAAAAZHJzL2Rvd25yZXYueG1sTI/LTsMwEEX3SPyDNUjsqJMCbpvGqVAlNuwoCImdG0/jqH5E&#10;tpsmf8+wguXMPbpzpt5NzrIRY+qDl1AuCmDo26B730n4/Hh9WANLWXmtbPAoYcYEu+b2plaVDlf/&#10;juMhd4xKfKqUBJPzUHGeWoNOpUUY0FN2CtGpTGPsuI7qSuXO8mVRCO5U7+mCUQPuDbbnw8VJWE1f&#10;AYeEe/w+jW00/by2b7OU93fTyxZYxin/wfCrT+rQkNMxXLxOzEoQxeqZUAqWTyUwIkQpBLAjbR43&#10;G+BNzf//0PwAAAD//wMAUEsBAi0AFAAGAAgAAAAhALaDOJL+AAAA4QEAABMAAAAAAAAAAAAAAAAA&#10;AAAAAFtDb250ZW50X1R5cGVzXS54bWxQSwECLQAUAAYACAAAACEAOP0h/9YAAACUAQAACwAAAAAA&#10;AAAAAAAAAAAvAQAAX3JlbHMvLnJlbHNQSwECLQAUAAYACAAAACEAdYTxY60CAACsBQAADgAAAAAA&#10;AAAAAAAAAAAuAgAAZHJzL2Uyb0RvYy54bWxQSwECLQAUAAYACAAAACEAamGcDt4AAAALAQAADwAA&#10;AAAAAAAAAAAAAAAHBQAAZHJzL2Rvd25yZXYueG1sUEsFBgAAAAAEAAQA8wAAABIGAAAAAA==&#10;" filled="f" stroked="f">
              <v:textbox style="mso-fit-shape-to-text:t" inset="0,0,0,0">
                <w:txbxContent>
                  <w:p w:rsidR="004B4B9A" w:rsidRDefault="003626B5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9A" w:rsidRDefault="004B4B9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9A" w:rsidRDefault="004B4B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9A"/>
    <w:rsid w:val="000103EB"/>
    <w:rsid w:val="003626B5"/>
    <w:rsid w:val="004B4B9A"/>
    <w:rsid w:val="00521036"/>
    <w:rsid w:val="00986667"/>
    <w:rsid w:val="00B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F3D556-BDE8-4486-98D5-8D36ABAD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3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46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Ю.В.</dc:creator>
  <cp:lastModifiedBy>Дегтева А.Н.</cp:lastModifiedBy>
  <cp:revision>3</cp:revision>
  <dcterms:created xsi:type="dcterms:W3CDTF">2019-07-26T09:39:00Z</dcterms:created>
  <dcterms:modified xsi:type="dcterms:W3CDTF">2019-07-26T09:44:00Z</dcterms:modified>
</cp:coreProperties>
</file>